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9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TUITION RATE: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Tuition is an annual rate covering the entire school year. </w:t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rFonts w:ascii="Georgia" w:cs="Georgia" w:eastAsia="Georgia" w:hAnsi="Georgia"/>
          <w:b w:val="1"/>
          <w:color w:val="c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Half Day Tuition Free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Kindergarten is for students attending class from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8 AM to 11:45 AM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only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913.0" w:type="dxa"/>
        <w:jc w:val="left"/>
        <w:tblInd w:w="0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895"/>
        <w:gridCol w:w="3585"/>
        <w:gridCol w:w="3433"/>
        <w:tblGridChange w:id="0">
          <w:tblGrid>
            <w:gridCol w:w="2895"/>
            <w:gridCol w:w="3585"/>
            <w:gridCol w:w="3433"/>
          </w:tblGrid>
        </w:tblGridChange>
      </w:tblGrid>
      <w:tr>
        <w:trPr>
          <w:trHeight w:val="420" w:hRule="atLeast"/>
        </w:trPr>
        <w:tc>
          <w:tcPr>
            <w:tcBorders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05">
            <w:pPr>
              <w:spacing w:before="17" w:lineRule="auto"/>
              <w:ind w:left="1133" w:right="1095"/>
              <w:contextualSpacing w:val="0"/>
              <w:jc w:val="center"/>
              <w:rPr>
                <w:rFonts w:ascii="Georgia" w:cs="Georgia" w:eastAsia="Georgia" w:hAnsi="Georg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 TK/KG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18"/>
                <w:szCs w:val="18"/>
                <w:rtl w:val="0"/>
              </w:rPr>
              <w:t xml:space="preserve">(Half Day)</w:t>
            </w:r>
          </w:p>
        </w:tc>
        <w:tc>
          <w:tcPr>
            <w:tcBorders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06">
            <w:pPr>
              <w:spacing w:before="17" w:lineRule="auto"/>
              <w:ind w:left="1085" w:right="1045"/>
              <w:contextualSpacing w:val="0"/>
              <w:jc w:val="center"/>
              <w:rPr>
                <w:rFonts w:ascii="Georgia" w:cs="Georgia" w:eastAsia="Georgia" w:hAnsi="Georg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 TK/KG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18"/>
                <w:szCs w:val="18"/>
                <w:rtl w:val="0"/>
              </w:rPr>
              <w:t xml:space="preserve">(Full Day)</w:t>
            </w:r>
          </w:p>
        </w:tc>
      </w:tr>
      <w:tr>
        <w:trPr>
          <w:trHeight w:val="8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cccccc" w:val="clear"/>
          </w:tcPr>
          <w:p w:rsidR="00000000" w:rsidDel="00000000" w:rsidP="00000000" w:rsidRDefault="00000000" w:rsidRPr="00000000" w14:paraId="00000007">
            <w:pPr>
              <w:spacing w:before="18" w:lineRule="auto"/>
              <w:ind w:left="1085" w:right="1036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18" w:lineRule="auto"/>
              <w:ind w:left="1085" w:right="1036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Tuition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cccccc" w:val="clear"/>
          </w:tcPr>
          <w:p w:rsidR="00000000" w:rsidDel="00000000" w:rsidP="00000000" w:rsidRDefault="00000000" w:rsidRPr="00000000" w14:paraId="00000009">
            <w:pPr>
              <w:spacing w:before="18" w:lineRule="auto"/>
              <w:ind w:left="720" w:right="1088"/>
              <w:contextualSpacing w:val="0"/>
              <w:jc w:val="righ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18" w:lineRule="auto"/>
              <w:ind w:left="720" w:right="1088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Registration &amp;</w:t>
            </w:r>
          </w:p>
          <w:p w:rsidR="00000000" w:rsidDel="00000000" w:rsidP="00000000" w:rsidRDefault="00000000" w:rsidRPr="00000000" w14:paraId="0000000B">
            <w:pPr>
              <w:spacing w:before="18" w:lineRule="auto"/>
              <w:ind w:left="720" w:right="1088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Smart Fee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cccccc" w:val="clear"/>
          </w:tcPr>
          <w:p w:rsidR="00000000" w:rsidDel="00000000" w:rsidP="00000000" w:rsidRDefault="00000000" w:rsidRPr="00000000" w14:paraId="0000000C">
            <w:pPr>
              <w:spacing w:before="18" w:lineRule="auto"/>
              <w:ind w:left="1084" w:right="1045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18" w:lineRule="auto"/>
              <w:ind w:left="1084" w:right="1045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$4525</w:t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pos="1219"/>
          <w:tab w:val="left" w:pos="1220"/>
        </w:tabs>
        <w:spacing w:before="33" w:lineRule="auto"/>
        <w:ind w:right="326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Tuition will be prorated by the quarter for students enrolled for part of the year. 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The school cannot cancel its unpaid obligations if your student withdraws during the academic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219"/>
          <w:tab w:val="left" w:pos="1220"/>
        </w:tabs>
        <w:spacing w:before="33" w:lineRule="auto"/>
        <w:ind w:left="1220" w:right="326"/>
        <w:contextualSpacing w:val="0"/>
        <w:rPr>
          <w:rFonts w:ascii="Georgia" w:cs="Georgia" w:eastAsia="Georgia" w:hAnsi="Georgia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ANNUAL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FEES: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(never prorated or discounted)</w:t>
      </w:r>
      <w:r w:rsidDel="00000000" w:rsidR="00000000" w:rsidRPr="00000000">
        <w:rPr>
          <w:rtl w:val="0"/>
        </w:rPr>
      </w:r>
    </w:p>
    <w:tbl>
      <w:tblPr>
        <w:tblStyle w:val="Table2"/>
        <w:tblW w:w="10279.0" w:type="dxa"/>
        <w:jc w:val="left"/>
        <w:tblInd w:w="90.0" w:type="dxa"/>
        <w:tblBorders>
          <w:top w:color="666666" w:space="0" w:sz="6" w:val="single"/>
          <w:left w:color="666666" w:space="0" w:sz="6" w:val="single"/>
          <w:bottom w:color="666666" w:space="0" w:sz="6" w:val="single"/>
          <w:right w:color="666666" w:space="0" w:sz="6" w:val="single"/>
          <w:insideH w:color="666666" w:space="0" w:sz="6" w:val="single"/>
          <w:insideV w:color="666666" w:space="0" w:sz="6" w:val="single"/>
        </w:tblBorders>
        <w:tblLayout w:type="fixed"/>
        <w:tblLook w:val="0000"/>
      </w:tblPr>
      <w:tblGrid>
        <w:gridCol w:w="3339"/>
        <w:gridCol w:w="6940"/>
        <w:tblGridChange w:id="0">
          <w:tblGrid>
            <w:gridCol w:w="3339"/>
            <w:gridCol w:w="6940"/>
          </w:tblGrid>
        </w:tblGridChange>
      </w:tblGrid>
      <w:tr>
        <w:trPr>
          <w:trHeight w:val="11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spacing w:before="1" w:lineRule="auto"/>
              <w:ind w:right="103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1" w:lineRule="auto"/>
              <w:ind w:right="103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Smart Fee</w:t>
            </w:r>
          </w:p>
          <w:p w:rsidR="00000000" w:rsidDel="00000000" w:rsidP="00000000" w:rsidRDefault="00000000" w:rsidRPr="00000000" w14:paraId="00000013">
            <w:pPr>
              <w:spacing w:before="1" w:lineRule="auto"/>
              <w:ind w:right="103"/>
              <w:contextualSpacing w:val="0"/>
              <w:jc w:val="center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(non-refundable) </w:t>
            </w:r>
          </w:p>
          <w:p w:rsidR="00000000" w:rsidDel="00000000" w:rsidP="00000000" w:rsidRDefault="00000000" w:rsidRPr="00000000" w14:paraId="00000014">
            <w:pPr>
              <w:spacing w:before="1" w:lineRule="auto"/>
              <w:ind w:right="103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5">
            <w:pPr>
              <w:spacing w:line="268" w:lineRule="auto"/>
              <w:ind w:left="720" w:firstLine="0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68" w:lineRule="auto"/>
              <w:ind w:left="0" w:firstLine="0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$50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(charged by Smart Tuition)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before="5" w:lineRule="auto"/>
              <w:ind w:right="49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5" w:lineRule="auto"/>
              <w:ind w:right="49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19">
            <w:pPr>
              <w:spacing w:before="1" w:lineRule="auto"/>
              <w:ind w:right="103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(non-refundable)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5" w:lineRule="auto"/>
              <w:ind w:right="49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1B">
            <w:pPr>
              <w:spacing w:before="8" w:lineRule="auto"/>
              <w:ind w:left="10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$650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 student each year, payable at registration and is non- refundable. This fee reserves your student’s placement. It also includes all textbooks, workbooks, readers, and resource materials.</w:t>
            </w:r>
          </w:p>
          <w:p w:rsidR="00000000" w:rsidDel="00000000" w:rsidP="00000000" w:rsidRDefault="00000000" w:rsidRPr="00000000" w14:paraId="0000001C">
            <w:pPr>
              <w:spacing w:before="8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75" w:before="0" w:lineRule="auto"/>
        <w:ind w:left="0" w:firstLine="0"/>
        <w:contextualSpacing w:val="0"/>
        <w:rPr>
          <w:rFonts w:ascii="Georgia" w:cs="Georgia" w:eastAsia="Georgia" w:hAnsi="Georgia"/>
          <w:color w:val="222222"/>
        </w:rPr>
        <w:sectPr>
          <w:headerReference r:id="rId6" w:type="default"/>
          <w:footerReference r:id="rId7" w:type="default"/>
          <w:pgSz w:h="15840" w:w="12240"/>
          <w:pgMar w:bottom="280" w:top="560" w:left="1060" w:right="1200" w:header="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03485" y="3780000"/>
                          <a:ext cx="46850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5B9BD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tabs>
          <w:tab w:val="left" w:pos="1379"/>
          <w:tab w:val="left" w:pos="1380"/>
        </w:tabs>
        <w:spacing w:before="73" w:line="252.00000000000003" w:lineRule="auto"/>
        <w:ind w:right="214"/>
        <w:contextualSpacing w:val="0"/>
        <w:rPr>
          <w:rFonts w:ascii="Georgia" w:cs="Georgia" w:eastAsia="Georgia" w:hAnsi="Georgia"/>
        </w:rPr>
        <w:sectPr>
          <w:type w:val="continuous"/>
          <w:pgSz w:h="15840" w:w="12240"/>
          <w:pgMar w:bottom="280" w:top="560" w:left="1060" w:right="1200" w:header="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03485" y="3780000"/>
                          <a:ext cx="46850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5B9BD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before="19" w:lineRule="auto"/>
        <w:contextualSpacing w:val="0"/>
        <w:rPr>
          <w:rFonts w:ascii="Georgia" w:cs="Georgia" w:eastAsia="Georgia" w:hAnsi="Georgia"/>
          <w:b w:val="1"/>
        </w:rPr>
      </w:pPr>
      <w:bookmarkStart w:colFirst="0" w:colLast="0" w:name="_30j0zll" w:id="0"/>
      <w:bookmarkEnd w:id="0"/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PAYMENT OPTIONS: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Payment of tuition and fees is managed for Judson by Smart Tuition. Families must enroll on Smart Tuition and choose one of the following tuition payment plans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before="19" w:lineRule="auto"/>
        <w:contextualSpacing w:val="0"/>
        <w:rPr>
          <w:rFonts w:ascii="Georgia" w:cs="Georgia" w:eastAsia="Georgia" w:hAnsi="Georgia"/>
          <w:b w:val="1"/>
        </w:rPr>
      </w:pPr>
      <w:bookmarkStart w:colFirst="0" w:colLast="0" w:name="_o7cszkr5tnrn" w:id="1"/>
      <w:bookmarkEnd w:id="1"/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*Tuition Plans apply to </w:t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tuition only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not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annual fees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Annual Fees are billed in-full at the time of enrollment i.e. Smart and  Registration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280" w:lineRule="auto"/>
        <w:ind w:left="1440" w:hanging="360"/>
        <w:contextualSpacing w:val="1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rtl w:val="0"/>
        </w:rPr>
        <w:t xml:space="preserve">10 Time Payment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 (July-January and March-May)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hanging="360"/>
        <w:contextualSpacing w:val="1"/>
        <w:rPr>
          <w:rFonts w:ascii="Georgia" w:cs="Georgia" w:eastAsia="Georgia" w:hAnsi="Georgia"/>
          <w:b w:val="1"/>
          <w:color w:val="222222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rtl w:val="0"/>
        </w:rPr>
        <w:t xml:space="preserve">2 Time Payment 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 (July and January)</w:t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hanging="360"/>
        <w:contextualSpacing w:val="1"/>
        <w:rPr>
          <w:rFonts w:ascii="Georgia" w:cs="Georgia" w:eastAsia="Georgia" w:hAnsi="Georgia"/>
          <w:b w:val="1"/>
          <w:color w:val="222222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rtl w:val="0"/>
        </w:rPr>
        <w:t xml:space="preserve">1 Time Payment 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(July</w:t>
      </w:r>
      <w:r w:rsidDel="00000000" w:rsidR="00000000" w:rsidRPr="00000000">
        <w:rPr>
          <w:rFonts w:ascii="Georgia" w:cs="Georgia" w:eastAsia="Georgia" w:hAnsi="Georgia"/>
          <w:i w:val="1"/>
          <w:color w:val="222222"/>
          <w:rtl w:val="0"/>
        </w:rPr>
        <w:t xml:space="preserve"> or at time of enrollment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280" w:top="560" w:left="1060" w:right="120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875" w:lineRule="auto"/>
      <w:contextualSpacing w:val="0"/>
      <w:jc w:val="center"/>
      <w:rPr>
        <w:sz w:val="20"/>
        <w:szCs w:val="20"/>
      </w:rPr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Office of Registrar &amp; Finance | 626-398-2490 | registrar@judsonschool.org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0</wp:posOffset>
              </wp:positionV>
              <wp:extent cx="22225" cy="222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02850" y="3780000"/>
                        <a:ext cx="46863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5B9BD5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0</wp:posOffset>
              </wp:positionV>
              <wp:extent cx="22225" cy="222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Avenir" w:cs="Avenir" w:eastAsia="Avenir" w:hAnsi="Avenir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contextualSpacing w:val="0"/>
      <w:rPr>
        <w:rFonts w:ascii="Georgia" w:cs="Georgia" w:eastAsia="Georgia" w:hAnsi="Georgia"/>
        <w:sz w:val="48"/>
        <w:szCs w:val="4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-219074</wp:posOffset>
          </wp:positionH>
          <wp:positionV relativeFrom="paragraph">
            <wp:posOffset>161925</wp:posOffset>
          </wp:positionV>
          <wp:extent cx="1154113" cy="990470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4113" cy="9904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contextualSpacing w:val="0"/>
      <w:jc w:val="center"/>
      <w:rPr>
        <w:rFonts w:ascii="Georgia" w:cs="Georgia" w:eastAsia="Georgia" w:hAnsi="Georgia"/>
        <w:b w:val="1"/>
        <w:color w:val="c00000"/>
        <w:sz w:val="48"/>
        <w:szCs w:val="48"/>
      </w:rPr>
    </w:pPr>
    <w:r w:rsidDel="00000000" w:rsidR="00000000" w:rsidRPr="00000000">
      <w:rPr>
        <w:rFonts w:ascii="Georgia" w:cs="Georgia" w:eastAsia="Georgia" w:hAnsi="Georgia"/>
        <w:b w:val="1"/>
        <w:color w:val="c00000"/>
        <w:sz w:val="48"/>
        <w:szCs w:val="48"/>
        <w:rtl w:val="0"/>
      </w:rPr>
      <w:t xml:space="preserve">Local Transitional Kindergarten and Kindergarten Tuition &amp; Fees</w:t>
    </w:r>
  </w:p>
  <w:p w:rsidR="00000000" w:rsidDel="00000000" w:rsidP="00000000" w:rsidRDefault="00000000" w:rsidRPr="00000000" w14:paraId="00000027">
    <w:pPr>
      <w:contextualSpacing w:val="0"/>
      <w:jc w:val="center"/>
      <w:rPr>
        <w:rFonts w:ascii="Avenir" w:cs="Avenir" w:eastAsia="Avenir" w:hAnsi="Avenir"/>
        <w:color w:val="002060"/>
        <w:sz w:val="36"/>
        <w:szCs w:val="36"/>
      </w:rPr>
    </w:pPr>
    <w:r w:rsidDel="00000000" w:rsidR="00000000" w:rsidRPr="00000000">
      <w:rPr>
        <w:rFonts w:ascii="Georgia" w:cs="Georgia" w:eastAsia="Georgia" w:hAnsi="Georgia"/>
        <w:color w:val="c00000"/>
        <w:sz w:val="36"/>
        <w:szCs w:val="36"/>
        <w:rtl w:val="0"/>
      </w:rPr>
      <w:t xml:space="preserve">2019-20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8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38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120"/>
    </w:pPr>
    <w:rPr>
      <w:b w:val="1"/>
      <w:sz w:val="21"/>
      <w:szCs w:val="2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